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C" w:rsidRDefault="0007494C" w:rsidP="0007494C">
      <w:pPr>
        <w:spacing w:before="82" w:line="276" w:lineRule="auto"/>
        <w:ind w:left="3711" w:right="3746" w:hanging="3"/>
        <w:jc w:val="center"/>
        <w:rPr>
          <w:b/>
          <w:sz w:val="20"/>
        </w:rPr>
      </w:pPr>
      <w:proofErr w:type="spellStart"/>
      <w:r>
        <w:rPr>
          <w:b/>
          <w:sz w:val="20"/>
        </w:rPr>
        <w:t>Govt.PolytechnicNnilokheri</w:t>
      </w:r>
      <w:proofErr w:type="spellEnd"/>
      <w:r>
        <w:rPr>
          <w:b/>
          <w:sz w:val="20"/>
        </w:rPr>
        <w:t xml:space="preserve"> Electrical Engineering Department Lesson plan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989"/>
        <w:gridCol w:w="7231"/>
        <w:gridCol w:w="6"/>
      </w:tblGrid>
      <w:tr w:rsidR="0007494C" w:rsidTr="0007494C">
        <w:trPr>
          <w:trHeight w:val="268"/>
        </w:trPr>
        <w:tc>
          <w:tcPr>
            <w:tcW w:w="8812" w:type="dxa"/>
            <w:gridSpan w:val="4"/>
          </w:tcPr>
          <w:p w:rsidR="0007494C" w:rsidRDefault="0007494C" w:rsidP="0042131D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Electrical Engineering</w:t>
            </w:r>
          </w:p>
        </w:tc>
      </w:tr>
      <w:tr w:rsidR="0007494C" w:rsidTr="0007494C">
        <w:trPr>
          <w:trHeight w:val="263"/>
        </w:trPr>
        <w:tc>
          <w:tcPr>
            <w:tcW w:w="8812" w:type="dxa"/>
            <w:gridSpan w:val="4"/>
          </w:tcPr>
          <w:p w:rsidR="0007494C" w:rsidRDefault="0007494C" w:rsidP="004213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th</w:t>
            </w:r>
          </w:p>
        </w:tc>
      </w:tr>
      <w:tr w:rsidR="0007494C" w:rsidTr="0007494C">
        <w:trPr>
          <w:trHeight w:val="263"/>
        </w:trPr>
        <w:tc>
          <w:tcPr>
            <w:tcW w:w="8812" w:type="dxa"/>
            <w:gridSpan w:val="4"/>
          </w:tcPr>
          <w:p w:rsidR="0007494C" w:rsidRDefault="0007494C" w:rsidP="004213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Soft Skills-III</w:t>
            </w:r>
          </w:p>
        </w:tc>
      </w:tr>
      <w:tr w:rsidR="0007494C" w:rsidTr="0007494C">
        <w:trPr>
          <w:trHeight w:val="263"/>
        </w:trPr>
        <w:tc>
          <w:tcPr>
            <w:tcW w:w="8812" w:type="dxa"/>
            <w:gridSpan w:val="4"/>
          </w:tcPr>
          <w:p w:rsidR="0007494C" w:rsidRDefault="0007494C" w:rsidP="0042131D">
            <w:pPr>
              <w:pStyle w:val="TableParagraph"/>
              <w:ind w:left="105"/>
              <w:rPr>
                <w:b/>
                <w:sz w:val="20"/>
              </w:rPr>
            </w:pPr>
            <w:r w:rsidRPr="00CD2D36">
              <w:rPr>
                <w:rFonts w:ascii="Calibri"/>
                <w:b/>
              </w:rPr>
              <w:t>from 15/09/2022  to 16/01/2023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13"/>
        </w:trPr>
        <w:tc>
          <w:tcPr>
            <w:tcW w:w="989" w:type="dxa"/>
          </w:tcPr>
          <w:p w:rsidR="0007494C" w:rsidRDefault="0007494C" w:rsidP="0042131D">
            <w:pPr>
              <w:pStyle w:val="TableParagraph"/>
              <w:spacing w:before="6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6"/>
              <w:ind w:left="3322" w:right="33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TOPIC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Learning outcomes.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9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Communications skills- handling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Communication skills phobia.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How to write resume.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6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231" w:type="dxa"/>
            <w:tcBorders>
              <w:bottom w:val="single" w:sz="6" w:space="0" w:color="000000"/>
            </w:tcBorders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Resume writing.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6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6" w:space="0" w:color="000000"/>
            </w:tcBorders>
          </w:tcPr>
          <w:p w:rsidR="0007494C" w:rsidRDefault="0007494C" w:rsidP="0042131D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Difference between CV and </w:t>
            </w:r>
            <w:proofErr w:type="spellStart"/>
            <w:r>
              <w:rPr>
                <w:rFonts w:ascii="Calibri"/>
              </w:rPr>
              <w:t>biodata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Copy checking.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Students</w:t>
            </w:r>
            <w:proofErr w:type="gramEnd"/>
            <w:r>
              <w:rPr>
                <w:rFonts w:ascii="Calibri"/>
              </w:rPr>
              <w:t xml:space="preserve"> communication viva.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Communication skills- improving non verbal communication.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Apply for job through email.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13"/>
        </w:trPr>
        <w:tc>
          <w:tcPr>
            <w:tcW w:w="989" w:type="dxa"/>
          </w:tcPr>
          <w:p w:rsidR="0007494C" w:rsidRDefault="0007494C" w:rsidP="0042131D">
            <w:pPr>
              <w:pStyle w:val="TableParagraph"/>
              <w:spacing w:before="6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6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Discussion about various job </w:t>
            </w:r>
            <w:proofErr w:type="gramStart"/>
            <w:r>
              <w:rPr>
                <w:rFonts w:ascii="Calibri"/>
              </w:rPr>
              <w:t>portal</w:t>
            </w:r>
            <w:proofErr w:type="gramEnd"/>
            <w:r>
              <w:rPr>
                <w:rFonts w:ascii="Calibri"/>
              </w:rPr>
              <w:t>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</w:tcPr>
          <w:p w:rsidR="0007494C" w:rsidRDefault="0007494C" w:rsidP="0042131D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Any left out topic discussion from above.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Mock interview.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Mock interview.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Group discussion.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Group discussion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Group discussion.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Practices of above.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Above discussion will continue.</w:t>
            </w:r>
          </w:p>
        </w:tc>
      </w:tr>
      <w:tr w:rsidR="0007494C" w:rsidTr="0007494C">
        <w:trPr>
          <w:gridBefore w:val="1"/>
          <w:gridAfter w:val="1"/>
          <w:wBefore w:w="586" w:type="dxa"/>
          <w:wAfter w:w="6" w:type="dxa"/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Presentation techniques.</w:t>
            </w:r>
          </w:p>
        </w:tc>
      </w:tr>
    </w:tbl>
    <w:p w:rsidR="0007494C" w:rsidRDefault="0007494C" w:rsidP="0007494C">
      <w:pPr>
        <w:rPr>
          <w:rFonts w:ascii="Calibri"/>
        </w:rPr>
        <w:sectPr w:rsidR="0007494C">
          <w:pgSz w:w="11910" w:h="16840"/>
          <w:pgMar w:top="1340" w:right="700" w:bottom="280" w:left="740" w:header="720" w:footer="720" w:gutter="0"/>
          <w:cols w:space="720"/>
        </w:sect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9"/>
        <w:gridCol w:w="7231"/>
      </w:tblGrid>
      <w:tr w:rsidR="0007494C" w:rsidTr="0042131D">
        <w:trPr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11.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Presentation techniques</w:t>
            </w:r>
          </w:p>
        </w:tc>
      </w:tr>
      <w:tr w:rsidR="0007494C" w:rsidTr="0042131D">
        <w:trPr>
          <w:trHeight w:val="509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Copy checking.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seminar</w:t>
            </w:r>
            <w:proofErr w:type="gramEnd"/>
            <w:r>
              <w:rPr>
                <w:rFonts w:ascii="Calibri"/>
              </w:rPr>
              <w:t>.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Seminar.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Discussion about safety.</w:t>
            </w:r>
          </w:p>
        </w:tc>
      </w:tr>
      <w:tr w:rsidR="0007494C" w:rsidTr="0042131D">
        <w:trPr>
          <w:trHeight w:val="513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6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Disaster management.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Surprise viva.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Safety and cleanliness.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Swachh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abiyaan</w:t>
            </w:r>
            <w:proofErr w:type="spellEnd"/>
            <w:r>
              <w:rPr>
                <w:rFonts w:ascii="Calibri"/>
              </w:rPr>
              <w:t xml:space="preserve"> in institute.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Do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 w:val="restart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seminars</w:t>
            </w:r>
          </w:p>
        </w:tc>
      </w:tr>
      <w:tr w:rsidR="0007494C" w:rsidTr="0042131D">
        <w:trPr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07494C" w:rsidRDefault="0007494C" w:rsidP="0042131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</w:tcPr>
          <w:p w:rsidR="0007494C" w:rsidRDefault="0007494C" w:rsidP="0042131D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seminars</w:t>
            </w:r>
          </w:p>
        </w:tc>
      </w:tr>
    </w:tbl>
    <w:p w:rsidR="0007494C" w:rsidRDefault="0007494C" w:rsidP="0007494C"/>
    <w:p w:rsidR="0098346A" w:rsidRDefault="0098346A"/>
    <w:sectPr w:rsidR="0098346A" w:rsidSect="004B230C">
      <w:pgSz w:w="11910" w:h="16840"/>
      <w:pgMar w:top="1420" w:right="7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7494C"/>
    <w:rsid w:val="0007494C"/>
    <w:rsid w:val="001603CD"/>
    <w:rsid w:val="0098346A"/>
    <w:rsid w:val="00D7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4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2</cp:revision>
  <dcterms:created xsi:type="dcterms:W3CDTF">2022-09-13T09:57:00Z</dcterms:created>
  <dcterms:modified xsi:type="dcterms:W3CDTF">2022-09-13T09:57:00Z</dcterms:modified>
</cp:coreProperties>
</file>